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smallCaps w:val="1"/>
          <w:color w:val="0e7c7b"/>
          <w:rtl w:val="0"/>
        </w:rPr>
        <w:t xml:space="preserve">XPRIZE HEALTHSPAN</w:t>
      </w:r>
      <w:r w:rsidDel="00000000" w:rsidR="00000000" w:rsidRPr="00000000">
        <w:rPr>
          <w:rtl w:val="0"/>
        </w:rPr>
      </w:r>
    </w:p>
    <w:p w:rsidR="00000000" w:rsidDel="00000000" w:rsidP="00000000" w:rsidRDefault="00000000" w:rsidRPr="00000000" w14:paraId="00000002">
      <w:pPr>
        <w:spacing w:after="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40"/>
          <w:szCs w:val="40"/>
          <w:rtl w:val="0"/>
        </w:rPr>
        <w:t xml:space="preserve">Knee Extensor Isokinetic Power</w:t>
      </w:r>
      <w:r w:rsidDel="00000000" w:rsidR="00000000" w:rsidRPr="00000000">
        <w:rPr>
          <w:rtl w:val="0"/>
        </w:rPr>
      </w:r>
    </w:p>
    <w:p w:rsidR="00000000" w:rsidDel="00000000" w:rsidP="00000000" w:rsidRDefault="00000000" w:rsidRPr="00000000" w14:paraId="00000003">
      <w:pPr>
        <w:spacing w:after="200" w:lineRule="auto"/>
        <w:rPr>
          <w:rFonts w:ascii="Helvetica Neue" w:cs="Helvetica Neue" w:eastAsia="Helvetica Neue" w:hAnsi="Helvetica Neue"/>
        </w:rPr>
      </w:pPr>
      <w:r w:rsidDel="00000000" w:rsidR="00000000" w:rsidRPr="00000000">
        <w:rPr>
          <w:rFonts w:ascii="Helvetica Neue" w:cs="Helvetica Neue" w:eastAsia="Helvetica Neue" w:hAnsi="Helvetica Neue"/>
          <w:color w:val="444444"/>
          <w:sz w:val="26"/>
          <w:szCs w:val="26"/>
          <w:rtl w:val="0"/>
        </w:rPr>
        <w:t xml:space="preserve">Clinical Toolkit for Trial Site Teams — Biodex &amp; HUMAC NORM</w:t>
      </w:r>
      <w:r w:rsidDel="00000000" w:rsidR="00000000" w:rsidRPr="00000000">
        <w:rPr>
          <w:rtl w:val="0"/>
        </w:rPr>
      </w:r>
    </w:p>
    <w:p w:rsidR="00000000" w:rsidDel="00000000" w:rsidP="00000000" w:rsidRDefault="00000000" w:rsidRPr="00000000" w14:paraId="00000004">
      <w:pPr>
        <w:spacing w:after="32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666666"/>
          <w:sz w:val="19"/>
          <w:szCs w:val="19"/>
          <w:rtl w:val="0"/>
        </w:rPr>
        <w:t xml:space="preserve">Executive Overview  ·  Site Testing Protocol  ·  Data Recording Sheet  </w:t>
      </w:r>
      <w:r w:rsidDel="00000000" w:rsidR="00000000" w:rsidRPr="00000000">
        <w:rPr>
          <w:rtl w:val="0"/>
        </w:rPr>
      </w:r>
    </w:p>
    <w:p w:rsidR="00000000" w:rsidDel="00000000" w:rsidP="00000000" w:rsidRDefault="00000000" w:rsidRPr="00000000" w14:paraId="00000005">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1. Executive Overview — Knee Extensor Isokinetic Power Testing</w:t>
      </w:r>
      <w:r w:rsidDel="00000000" w:rsidR="00000000" w:rsidRPr="00000000">
        <w:rPr>
          <w:rtl w:val="0"/>
        </w:rPr>
      </w:r>
    </w:p>
    <w:p w:rsidR="00000000" w:rsidDel="00000000" w:rsidP="00000000" w:rsidRDefault="00000000" w:rsidRPr="00000000" w14:paraId="00000006">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Isokinetic dynamometry (e.g. Biodex System 3/4 Pro, or the HUMAC NORM by CSMi — the Cybex NORM's direct successor) is a seated testing system that holds the speed of a limb's movement constant while a load cell records the torque (Nm) the participant produces throughout the full range of motion. This “accommodating resistance” loads the knee extensors near-maximally at every joint angle — a dynamic, movement-based test, unlike single-angle isometric testing or the single-effort isoinertial tests (Nottingham Power Rig, Keiser leg press) used elsewhere in this toolkit family.</w:t>
      </w:r>
      <w:r w:rsidDel="00000000" w:rsidR="00000000" w:rsidRPr="00000000">
        <w:rPr>
          <w:rtl w:val="0"/>
        </w:rPr>
      </w:r>
    </w:p>
    <w:p w:rsidR="00000000" w:rsidDel="00000000" w:rsidP="00000000" w:rsidRDefault="00000000" w:rsidRPr="00000000" w14:paraId="00000007">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Because the dynamometer's angular velocity is fixed and precisely known, mechanical power output can be calculated directly from the torque the device records — Power (W) = Torque (Nm) × angular velocity (rad/s) — with no separate power sensor or estimation equation required. This makes isokinetic testing, per Wilk, Arrigo &amp; Davies (IJSPT, 2024), a good method for objectively quantifying dynamic knee-extensor power.</w:t>
      </w:r>
      <w:r w:rsidDel="00000000" w:rsidR="00000000" w:rsidRPr="00000000">
        <w:rPr>
          <w:rtl w:val="0"/>
        </w:rPr>
      </w:r>
    </w:p>
    <w:p w:rsidR="00000000" w:rsidDel="00000000" w:rsidP="00000000" w:rsidRDefault="00000000" w:rsidRPr="00000000" w14:paraId="00000008">
      <w:pPr>
        <w:spacing w:after="120" w:line="276" w:lineRule="auto"/>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Quadriceps (knee extensor) power declines steeply with age — an estimated ~6.5 W/year in men and ~4.2 W/year in women (Wrucke et al., J Appl Physiol, 2024) — and predicts balance, gait speed, and chair-rise performance in older adults. For XPRIZE Healthspan, the isokinetic approach — regardless of whether a team uses a Biodex or a HUMAC NORM or similar isokinetic dynamometer — turns the derived power value (W) into a directly comparable primary outcome, computed by each device's torque and velocity readouts. </w:t>
      </w:r>
    </w:p>
    <w:p w:rsidR="00000000" w:rsidDel="00000000" w:rsidP="00000000" w:rsidRDefault="00000000" w:rsidRPr="00000000" w14:paraId="00000009">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This isokinetic power outcome is conceptually the same construct (mechanical power output of the knee extensors, in watts) as the leg-press power outcome in the companion toolkit, but the two are not numerically interchangeable — a single-joint, fixed-velocity isokinetic value and a multi-joint, ballistic leg-press value may have different reference thresholds for judging and may not be pooled or converted into one another for analysis.</w:t>
      </w:r>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b w:val="1"/>
          <w:bCs w:val="1"/>
          <w:color w:val="1f3864"/>
          <w:sz w:val="30"/>
          <w:szCs w:val="30"/>
        </w:rPr>
      </w:pPr>
      <w:r w:rsidDel="00000000" w:rsidR="00000000" w:rsidRPr="00000000">
        <w:rPr>
          <w:rFonts w:ascii="Helvetica Neue" w:cs="Helvetica Neue" w:eastAsia="Helvetica Neue" w:hAnsi="Helvetica Neue"/>
          <w:sz w:val="21"/>
          <w:szCs w:val="21"/>
          <w:rtl w:val="0"/>
        </w:rPr>
        <w:t xml:space="preserve">Derived peak power normalized to body mass (W/kg) is the </w:t>
      </w:r>
      <w:r w:rsidDel="00000000" w:rsidR="00000000" w:rsidRPr="00000000">
        <w:rPr>
          <w:rFonts w:ascii="Helvetica Neue" w:cs="Helvetica Neue" w:eastAsia="Helvetica Neue" w:hAnsi="Helvetica Neue"/>
          <w:b w:val="1"/>
          <w:bCs w:val="1"/>
          <w:sz w:val="21"/>
          <w:szCs w:val="21"/>
          <w:rtl w:val="0"/>
        </w:rPr>
        <w:t xml:space="preserve">primary judging measure</w:t>
      </w:r>
      <w:r w:rsidDel="00000000" w:rsidR="00000000" w:rsidRPr="00000000">
        <w:rPr>
          <w:rFonts w:ascii="Helvetica Neue" w:cs="Helvetica Neue" w:eastAsia="Helvetica Neue" w:hAnsi="Helvetica Neue"/>
          <w:sz w:val="21"/>
          <w:szCs w:val="21"/>
          <w:rtl w:val="0"/>
        </w:rPr>
        <w:t xml:space="preserve"> for this test in the XPRIZE Healthspan Competition.</w:t>
      </w: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pBdr>
          <w:bottom w:color="1f3864" w:space="4" w:sz="8" w:val="single"/>
        </w:pBdr>
        <w:spacing w:after="160"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2. Site Testing Protocol — Knee Extensor Isokinetic Power</w:t>
      </w:r>
      <w:r w:rsidDel="00000000" w:rsidR="00000000" w:rsidRPr="00000000">
        <w:rPr>
          <w:rtl w:val="0"/>
        </w:rPr>
      </w:r>
    </w:p>
    <w:p w:rsidR="00000000" w:rsidDel="00000000" w:rsidP="00000000" w:rsidRDefault="00000000" w:rsidRPr="00000000" w14:paraId="0000000C">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This protocol below works on either gold-standard isokinetic system XPRIZE Healthspan sites are likely to own; should your site have different equipment, please discuss with DCC and XPRIZE staff. Use the equipment your site has — do not attempt to reproduce the other vendor's exact hardware. The steps below use a single fixed testing velocity and the minimum number of trials needed to derive a valid, reproducible, cross-site-comparable power value.</w:t>
      </w:r>
      <w:r w:rsidDel="00000000" w:rsidR="00000000" w:rsidRPr="00000000">
        <w:rPr>
          <w:rtl w:val="0"/>
        </w:rPr>
      </w:r>
    </w:p>
    <w:p w:rsidR="00000000" w:rsidDel="00000000" w:rsidP="00000000" w:rsidRDefault="00000000" w:rsidRPr="00000000" w14:paraId="0000000D">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Equipment options at a glance</w:t>
      </w:r>
      <w:r w:rsidDel="00000000" w:rsidR="00000000" w:rsidRPr="00000000">
        <w:rPr>
          <w:rtl w:val="0"/>
        </w:rPr>
      </w:r>
    </w:p>
    <w:tbl>
      <w:tblPr>
        <w:tblStyle w:val="Table1"/>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03"/>
        <w:gridCol w:w="3896"/>
        <w:gridCol w:w="4441"/>
        <w:tblGridChange w:id="0">
          <w:tblGrid>
            <w:gridCol w:w="2103"/>
            <w:gridCol w:w="3896"/>
            <w:gridCol w:w="4441"/>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0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System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0F">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What It Provides</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10">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Notes for This Protocol</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11">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Biodex System 3 / 4 Pro</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Seated multi-joint isokinetic dynamometer; knee attachment with restraint system and adjustable lever arm</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Set knee-extension/flexion attachment; align dynamometer axis to the knee; perform manufacturer gravity correction before testing</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14">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HUMAC NORM (CSMi)</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Seated multi-joint isokinetic dynamometer (successor to the Cybex NORM); 4 resistance modes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16">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Use the knee attachment in standard isokinetic (concentric) mode; align dynamometer axis to the knee; perform gravity correction before testing</w:t>
            </w:r>
            <w:r w:rsidDel="00000000" w:rsidR="00000000" w:rsidRPr="00000000">
              <w:rPr>
                <w:rtl w:val="0"/>
              </w:rPr>
            </w:r>
          </w:p>
        </w:tc>
      </w:tr>
    </w:tbl>
    <w:p w:rsidR="00000000" w:rsidDel="00000000" w:rsidP="00000000" w:rsidRDefault="00000000" w:rsidRPr="00000000" w14:paraId="00000017">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p w:rsidR="00000000" w:rsidDel="00000000" w:rsidP="00000000" w:rsidRDefault="00000000" w:rsidRPr="00000000" w14:paraId="00000018">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Confirm the participant can extend and flex the tested knee through a full, pain-free range of motion against light manual resistance before loading the dynamometer.</w:t>
      </w:r>
      <w:r w:rsidDel="00000000" w:rsidR="00000000" w:rsidRPr="00000000">
        <w:rPr>
          <w:rtl w:val="0"/>
        </w:rPr>
      </w:r>
    </w:p>
    <w:p w:rsidR="00000000" w:rsidDel="00000000" w:rsidP="00000000" w:rsidRDefault="00000000" w:rsidRPr="00000000" w14:paraId="00000019">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21"/>
          <w:szCs w:val="21"/>
          <w:rtl w:val="0"/>
        </w:rPr>
        <w:t xml:space="preserve">Do not test if the participant has: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 recent lower-extremity fracture, joint replacement without surgeon clearance, or ligament repair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 recent cardiac event, unstable angina, or uncontrolled severe hypertension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Acute deep vein thrombosis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Significant knee or hip pain that prevents a full, controlled push against resistance</w:t>
      </w:r>
      <w:r w:rsidDel="00000000" w:rsidR="00000000" w:rsidRPr="00000000">
        <w:rPr>
          <w:rtl w:val="0"/>
        </w:rPr>
      </w:r>
    </w:p>
    <w:p w:rsidR="00000000" w:rsidDel="00000000" w:rsidP="00000000" w:rsidRDefault="00000000" w:rsidRPr="00000000" w14:paraId="0000001E">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Standardized setup (both systems)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which leg is tested (R/L and dominant/non-dominant) at every visit.</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Seat the participant upright, hips and back against the seat back, arms folded across the chest (do not allow the participant to grasp the dynamometer frame or seat rails with their hands), with the hip at approximately 85–100° flexion; secure the trunk, pelvis, and thigh with restraint straps.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Align the dynamometer's mechanical axis of rotation with the participant's knee joint axis (lateral femoral epicondyle).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Attach the lower-leg pad/cuff with a strap positioned just proximal to the malleoli.</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the seat position, axis height, and lever-arm length at baseline; reuse the identical settings at every follow-up visit for that participant.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Set the range-of-motion (ROM) mechanical stops from full extension (0°, or 5° short of full extension to avoid an end-range braking artifact) to 90–95° of knee flexion.</w:t>
      </w:r>
      <w:r w:rsidDel="00000000" w:rsidR="00000000" w:rsidRPr="00000000">
        <w:rPr>
          <w:rtl w:val="0"/>
        </w:rPr>
      </w:r>
    </w:p>
    <w:p w:rsidR="00000000" w:rsidDel="00000000" w:rsidP="00000000" w:rsidRDefault="00000000" w:rsidRPr="00000000" w14:paraId="00000025">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Manufacturer mandatory steps </w:t>
      </w:r>
      <w:r w:rsidDel="00000000" w:rsidR="00000000" w:rsidRPr="00000000">
        <w:rPr>
          <w:rtl w:val="0"/>
        </w:rPr>
      </w:r>
    </w:p>
    <w:p w:rsidR="00000000" w:rsidDel="00000000" w:rsidP="00000000" w:rsidRDefault="00000000" w:rsidRPr="00000000" w14:paraId="00000026">
      <w:pPr>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Should your system require, perform built-in gravity correction procedure or other mandatory calibration steps per manufacturer instructions) before any test trial.</w:t>
      </w:r>
      <w:r w:rsidDel="00000000" w:rsidR="00000000" w:rsidRPr="00000000">
        <w:rPr>
          <w:rtl w:val="0"/>
        </w:rPr>
      </w:r>
    </w:p>
    <w:p w:rsidR="00000000" w:rsidDel="00000000" w:rsidP="00000000" w:rsidRDefault="00000000" w:rsidRPr="00000000" w14:paraId="00000027">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1 — Familiarization</w:t>
      </w:r>
      <w:r w:rsidDel="00000000" w:rsidR="00000000" w:rsidRPr="00000000">
        <w:rPr>
          <w:rtl w:val="0"/>
        </w:rPr>
      </w:r>
    </w:p>
    <w:p w:rsidR="00000000" w:rsidDel="00000000" w:rsidP="00000000" w:rsidRDefault="00000000" w:rsidRPr="00000000" w14:paraId="00000028">
      <w:pPr>
        <w:spacing w:after="120"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Complete 3–4 submaximal concentric knee-extension repetitions at the test velocity (180°/s) so the participant understands the movement and cadence. These are not scored.</w:t>
      </w:r>
      <w:r w:rsidDel="00000000" w:rsidR="00000000" w:rsidRPr="00000000">
        <w:rPr>
          <w:rtl w:val="0"/>
        </w:rPr>
      </w:r>
    </w:p>
    <w:p w:rsidR="00000000" w:rsidDel="00000000" w:rsidP="00000000" w:rsidRDefault="00000000" w:rsidRPr="00000000" w14:paraId="00000029">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2 — Standardized test velocity</w:t>
      </w:r>
      <w:r w:rsidDel="00000000" w:rsidR="00000000" w:rsidRPr="00000000">
        <w:rPr>
          <w:rtl w:val="0"/>
        </w:rPr>
      </w:r>
    </w:p>
    <w:p w:rsidR="00000000" w:rsidDel="00000000" w:rsidP="00000000" w:rsidRDefault="00000000" w:rsidRPr="00000000" w14:paraId="0000002A">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Set the dynamometer to a single fixed concentric angular velocity of 180°/s for knee extension. This velocity should be used at every site, on every device, for every participant and visit.</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180°/s approximates functional movement speed and produces substantially lower patellofemoral compressive and anterior tibial shear forces than the historically common 60°/s (Wilk &amp; Andrews, 1993; cited in Wilk et al., IJSPT 2024) and remains reliably “catchable” by older participants.</w:t>
      </w:r>
      <w:r w:rsidDel="00000000" w:rsidR="00000000" w:rsidRPr="00000000">
        <w:rPr>
          <w:rtl w:val="0"/>
        </w:rPr>
      </w:r>
    </w:p>
    <w:p w:rsidR="00000000" w:rsidDel="00000000" w:rsidP="00000000" w:rsidRDefault="00000000" w:rsidRPr="00000000" w14:paraId="0000002C">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Step 3 — Scored trials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Instruct the participant to kick out “as hard and as fast as possible” through the full set range of motion for the knee extensors (concentric phase only is scored).</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Perform 3–5 maximal concentric knee-extension repetitions at 180°/s, with the system's standard passive return between reps.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Allow at least 60 seconds of rest if a second set is needed (e.g., a technically invalid first set).</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Record the highest Peak Torque (Nm) for knee extension across all scored repetitions on that leg.</w:t>
      </w:r>
      <w:r w:rsidDel="00000000" w:rsidR="00000000" w:rsidRPr="00000000">
        <w:rPr>
          <w:rtl w:val="0"/>
        </w:rPr>
      </w:r>
    </w:p>
    <w:p w:rsidR="00000000" w:rsidDel="00000000" w:rsidP="00000000" w:rsidRDefault="00000000" w:rsidRPr="00000000" w14:paraId="00000031">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What to record vs. what REDCap calculates</w:t>
      </w:r>
      <w:r w:rsidDel="00000000" w:rsidR="00000000" w:rsidRPr="00000000">
        <w:rPr>
          <w:rtl w:val="0"/>
        </w:rPr>
      </w:r>
    </w:p>
    <w:p w:rsidR="00000000" w:rsidDel="00000000" w:rsidP="00000000" w:rsidRDefault="00000000" w:rsidRPr="00000000" w14:paraId="00000032">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sz w:val="21"/>
          <w:szCs w:val="21"/>
          <w:rtl w:val="0"/>
        </w:rPr>
        <w:t xml:space="preserve">Because the angular velocity is fixed and known, power will be calculated directly from the recorded peak torque — this formula is identical regardless of vendor, and is the primary outcome for this toolkit – and will be calculated by the Data Coordinating Center from data entered in REDCap:</w:t>
      </w:r>
      <w:r w:rsidDel="00000000" w:rsidR="00000000" w:rsidRPr="00000000">
        <w:rPr>
          <w:rtl w:val="0"/>
        </w:rPr>
      </w:r>
    </w:p>
    <w:p w:rsidR="00000000" w:rsidDel="00000000" w:rsidP="00000000" w:rsidRDefault="00000000" w:rsidRPr="00000000" w14:paraId="00000033">
      <w:pPr>
        <w:pBdr>
          <w:top w:color="0e7c7b" w:space="6" w:sz="6" w:val="single"/>
          <w:bottom w:color="0e7c7b" w:space="6" w:sz="6" w:val="single"/>
        </w:pBdr>
        <w:spacing w:before="80" w:lineRule="auto"/>
        <w:rPr>
          <w:rFonts w:ascii="Helvetica Neue" w:cs="Helvetica Neue" w:eastAsia="Helvetica Neue" w:hAnsi="Helvetica Neue"/>
        </w:rPr>
      </w:pPr>
      <w:sdt>
        <w:sdtPr>
          <w:id w:val="-352242503"/>
          <w:tag w:val="goog_rdk_0"/>
        </w:sdtPr>
        <w:sdtContent>
          <w:r w:rsidDel="00000000" w:rsidR="00000000" w:rsidRPr="00000000">
            <w:rPr>
              <w:rFonts w:ascii="Arial Unicode MS" w:cs="Arial Unicode MS" w:eastAsia="Arial Unicode MS" w:hAnsi="Arial Unicode MS"/>
              <w:b w:val="1"/>
              <w:bCs w:val="1"/>
              <w:color w:val="1f3864"/>
              <w:sz w:val="22"/>
              <w:szCs w:val="22"/>
              <w:rtl w:val="0"/>
            </w:rPr>
            <w:t xml:space="preserve">Power (W) = Peak Torque (Nm) × angular velocity (rad/s) = Peak Torque (Nm) × π  (at 180°/s exactly, since 180°/s = π rad/s ≈ 3.14 rad/s)</w:t>
          </w:r>
        </w:sdtContent>
      </w:sdt>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If your device's software also reports an “Average Power” value directly, record it as a secondary field — but the peak-torque-derived value above is the primary outcome, because it is computed identically across Biodex and HUMAC NORM software rather than relying on each vendor's own internal averaging algorithm.</w:t>
      </w:r>
      <w:r w:rsidDel="00000000" w:rsidR="00000000" w:rsidRPr="00000000">
        <w:rPr>
          <w:rtl w:val="0"/>
        </w:rPr>
      </w:r>
    </w:p>
    <w:p w:rsidR="00000000" w:rsidDel="00000000" w:rsidP="00000000" w:rsidRDefault="00000000" w:rsidRPr="00000000" w14:paraId="00000035">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Re-test schedule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Baseline at enrollment; standard interim cadence per protocol for judging.</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Use the same dynamometer, same leg, same seat/axis/lever-arm settings, same 180°/s velocity, and the same rater when possible at every visit for a given participant.</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1"/>
          <w:szCs w:val="21"/>
          <w:u w:val="none"/>
          <w:shd w:fill="auto" w:val="clear"/>
          <w:vertAlign w:val="baseline"/>
          <w:rtl w:val="0"/>
        </w:rPr>
        <w:t xml:space="preserve">Every team — regardless of equipment used— must test at 180°/s and record or enter data needed to derive the peak-torque-derived Power (W) formula above. Do not substitute a different velocity or a vendor-specific power metric as the primary outcome, even if your site's usual clinical protocol differs.</w:t>
      </w: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b w:val="1"/>
          <w:bCs w:val="1"/>
          <w:color w:val="1f3864"/>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pBdr>
          <w:bottom w:color="1f3864" w:space="4" w:sz="8" w:val="single"/>
        </w:pBdr>
        <w:spacing w:before="32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1f3864"/>
          <w:sz w:val="30"/>
          <w:szCs w:val="30"/>
          <w:rtl w:val="0"/>
        </w:rPr>
        <w:t xml:space="preserve">3. Data Recording Sheet (Paper Source Document)</w:t>
      </w: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Complete in ink at time of testing. Transcribe to REDCap per site SOP. One form per visit.</w:t>
      </w:r>
      <w:r w:rsidDel="00000000" w:rsidR="00000000" w:rsidRPr="00000000">
        <w:rPr>
          <w:rtl w:val="0"/>
        </w:rPr>
      </w:r>
    </w:p>
    <w:tbl>
      <w:tblPr>
        <w:tblStyle w:val="Table2"/>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965"/>
        <w:gridCol w:w="2039"/>
        <w:gridCol w:w="2865"/>
        <w:gridCol w:w="2571"/>
        <w:tblGridChange w:id="0">
          <w:tblGrid>
            <w:gridCol w:w="2965"/>
            <w:gridCol w:w="2039"/>
            <w:gridCol w:w="2865"/>
            <w:gridCol w:w="2571"/>
          </w:tblGrid>
        </w:tblGridChange>
      </w:tblGrid>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3C">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Participant ID #1 (Subject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3D">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3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Participant ID #2</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3F">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0">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Site / Clinic ID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1">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42">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Visit / Timepoint</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4">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Date of Test (DD-MMM-YYYY)</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46">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Rater / Tester Initials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7">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bl>
    <w:p w:rsidR="00000000" w:rsidDel="00000000" w:rsidP="00000000" w:rsidRDefault="00000000" w:rsidRPr="00000000" w14:paraId="00000048">
      <w:pPr>
        <w:spacing w:after="140" w:before="140" w:lineRule="auto"/>
        <w:rPr>
          <w:rFonts w:ascii="Helvetica Neue" w:cs="Helvetica Neue" w:eastAsia="Helvetica Neue" w:hAnsi="Helvetica Neue"/>
        </w:rPr>
      </w:pPr>
      <w:r w:rsidDel="00000000" w:rsidR="00000000" w:rsidRPr="00000000">
        <w:rPr>
          <w:rtl w:val="0"/>
        </w:rPr>
      </w:r>
    </w:p>
    <w:tbl>
      <w:tblPr>
        <w:tblStyle w:val="Table3"/>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536"/>
        <w:gridCol w:w="7904"/>
        <w:tblGridChange w:id="0">
          <w:tblGrid>
            <w:gridCol w:w="2536"/>
            <w:gridCol w:w="7904"/>
          </w:tblGrid>
        </w:tblGridChange>
      </w:tblGrid>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49">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Equipment Used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4A">
            <w:pPr>
              <w:rPr>
                <w:rFonts w:ascii="Helvetica Neue" w:cs="Helvetica Neue" w:eastAsia="Helvetica Neue" w:hAnsi="Helvetica Neue"/>
                <w:sz w:val="19"/>
                <w:szCs w:val="19"/>
              </w:rPr>
            </w:pPr>
            <w:sdt>
              <w:sdtPr>
                <w:id w:val="-1252733259"/>
                <w:tag w:val="goog_rdk_1"/>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Biodex System 3      </w:t>
            </w:r>
            <w:sdt>
              <w:sdtPr>
                <w:id w:val="-75875255"/>
                <w:tag w:val="goog_rdk_2"/>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Biodex System 4 Pro      </w:t>
            </w:r>
            <w:sdt>
              <w:sdtPr>
                <w:id w:val="-25750670"/>
                <w:tag w:val="goog_rdk_3"/>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HUMAC NORM (CSMi)      </w:t>
            </w:r>
          </w:p>
          <w:p w:rsidR="00000000" w:rsidDel="00000000" w:rsidP="00000000" w:rsidRDefault="00000000" w:rsidRPr="00000000" w14:paraId="0000004B">
            <w:pPr>
              <w:rPr>
                <w:rFonts w:ascii="Helvetica Neue" w:cs="Helvetica Neue" w:eastAsia="Helvetica Neue" w:hAnsi="Helvetica Neue"/>
              </w:rPr>
            </w:pPr>
            <w:sdt>
              <w:sdtPr>
                <w:id w:val="1911644155"/>
                <w:tag w:val="goog_rdk_4"/>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Other: _______________</w:t>
            </w:r>
            <w:r w:rsidDel="00000000" w:rsidR="00000000" w:rsidRPr="00000000">
              <w:rPr>
                <w:rtl w:val="0"/>
              </w:rPr>
            </w:r>
          </w:p>
        </w:tc>
      </w:tr>
    </w:tbl>
    <w:p w:rsidR="00000000" w:rsidDel="00000000" w:rsidP="00000000" w:rsidRDefault="00000000" w:rsidRPr="00000000" w14:paraId="0000004C">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Pre-test screening</w:t>
      </w:r>
      <w:r w:rsidDel="00000000" w:rsidR="00000000" w:rsidRPr="00000000">
        <w:rPr>
          <w:rtl w:val="0"/>
        </w:rPr>
      </w:r>
    </w:p>
    <w:tbl>
      <w:tblPr>
        <w:tblStyle w:val="Table4"/>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7427"/>
        <w:gridCol w:w="3013"/>
        <w:tblGridChange w:id="0">
          <w:tblGrid>
            <w:gridCol w:w="7427"/>
            <w:gridCol w:w="3013"/>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4D">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Item</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4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Response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4F">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Any absolute contraindication present? (see Protocol Section 2)</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0">
            <w:pPr>
              <w:rPr>
                <w:rFonts w:ascii="Helvetica Neue" w:cs="Helvetica Neue" w:eastAsia="Helvetica Neue" w:hAnsi="Helvetica Neue"/>
                <w:sz w:val="19"/>
                <w:szCs w:val="19"/>
              </w:rPr>
            </w:pPr>
            <w:sdt>
              <w:sdtPr>
                <w:id w:val="1749012758"/>
                <w:tag w:val="goog_rdk_5"/>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 DO NOT TEST      </w:t>
            </w:r>
          </w:p>
          <w:p w:rsidR="00000000" w:rsidDel="00000000" w:rsidP="00000000" w:rsidRDefault="00000000" w:rsidRPr="00000000" w14:paraId="00000051">
            <w:pPr>
              <w:rPr>
                <w:rFonts w:ascii="Helvetica Neue" w:cs="Helvetica Neue" w:eastAsia="Helvetica Neue" w:hAnsi="Helvetica Neue"/>
              </w:rPr>
            </w:pPr>
            <w:sdt>
              <w:sdtPr>
                <w:id w:val="-478761263"/>
                <w:tag w:val="goog_rdk_6"/>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Tested knee moves through full pain-free ROM vs. light manual resistance?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3">
            <w:pPr>
              <w:rPr>
                <w:rFonts w:ascii="Helvetica Neue" w:cs="Helvetica Neue" w:eastAsia="Helvetica Neue" w:hAnsi="Helvetica Neue"/>
                <w:sz w:val="19"/>
                <w:szCs w:val="19"/>
              </w:rPr>
            </w:pPr>
            <w:sdt>
              <w:sdtPr>
                <w:id w:val="-159951943"/>
                <w:tag w:val="goog_rdk_7"/>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w:t>
            </w:r>
          </w:p>
          <w:p w:rsidR="00000000" w:rsidDel="00000000" w:rsidP="00000000" w:rsidRDefault="00000000" w:rsidRPr="00000000" w14:paraId="00000054">
            <w:pPr>
              <w:rPr>
                <w:rFonts w:ascii="Helvetica Neue" w:cs="Helvetica Neue" w:eastAsia="Helvetica Neue" w:hAnsi="Helvetica Neue"/>
              </w:rPr>
            </w:pPr>
            <w:sdt>
              <w:sdtPr>
                <w:id w:val="-1686502035"/>
                <w:tag w:val="goog_rdk_8"/>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 — DO NOT TEST</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55">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Gravity correction performed before testing?</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56">
            <w:pPr>
              <w:rPr>
                <w:rFonts w:ascii="Helvetica Neue" w:cs="Helvetica Neue" w:eastAsia="Helvetica Neue" w:hAnsi="Helvetica Neue"/>
                <w:b w:val="1"/>
                <w:bCs w:val="1"/>
                <w:sz w:val="19"/>
                <w:szCs w:val="19"/>
              </w:rPr>
            </w:pPr>
            <w:sdt>
              <w:sdtPr>
                <w:id w:val="-1409029399"/>
                <w:tag w:val="goog_rdk_9"/>
              </w:sdtPr>
              <w:sdtContent>
                <w:r w:rsidDel="00000000" w:rsidR="00000000" w:rsidRPr="00000000">
                  <w:rPr>
                    <w:rFonts w:ascii="Arial Unicode MS" w:cs="Arial Unicode MS" w:eastAsia="Arial Unicode MS" w:hAnsi="Arial Unicode MS"/>
                    <w:b w:val="1"/>
                    <w:bCs w:val="1"/>
                    <w:sz w:val="19"/>
                    <w:szCs w:val="19"/>
                    <w:rtl w:val="0"/>
                  </w:rPr>
                  <w:t xml:space="preserve">☐</w:t>
                </w:r>
              </w:sdtContent>
            </w:sdt>
            <w:r w:rsidDel="00000000" w:rsidR="00000000" w:rsidRPr="00000000">
              <w:rPr>
                <w:rFonts w:ascii="Helvetica Neue" w:cs="Helvetica Neue" w:eastAsia="Helvetica Neue" w:hAnsi="Helvetica Neue"/>
                <w:b w:val="1"/>
                <w:bCs w:val="1"/>
                <w:sz w:val="19"/>
                <w:szCs w:val="19"/>
                <w:rtl w:val="0"/>
              </w:rPr>
              <w:t xml:space="preserve"> Yes      </w:t>
            </w:r>
          </w:p>
          <w:p w:rsidR="00000000" w:rsidDel="00000000" w:rsidP="00000000" w:rsidRDefault="00000000" w:rsidRPr="00000000" w14:paraId="00000057">
            <w:pPr>
              <w:rPr>
                <w:rFonts w:ascii="Helvetica Neue" w:cs="Helvetica Neue" w:eastAsia="Helvetica Neue" w:hAnsi="Helvetica Neue"/>
              </w:rPr>
            </w:pPr>
            <w:sdt>
              <w:sdtPr>
                <w:id w:val="-1468180871"/>
                <w:tag w:val="goog_rdk_10"/>
              </w:sdtPr>
              <w:sdtContent>
                <w:r w:rsidDel="00000000" w:rsidR="00000000" w:rsidRPr="00000000">
                  <w:rPr>
                    <w:rFonts w:ascii="Arial Unicode MS" w:cs="Arial Unicode MS" w:eastAsia="Arial Unicode MS" w:hAnsi="Arial Unicode MS"/>
                    <w:b w:val="1"/>
                    <w:bCs w:val="1"/>
                    <w:sz w:val="19"/>
                    <w:szCs w:val="19"/>
                    <w:rtl w:val="0"/>
                  </w:rPr>
                  <w:t xml:space="preserve">☐</w:t>
                </w:r>
              </w:sdtContent>
            </w:sdt>
            <w:r w:rsidDel="00000000" w:rsidR="00000000" w:rsidRPr="00000000">
              <w:rPr>
                <w:rFonts w:ascii="Helvetica Neue" w:cs="Helvetica Neue" w:eastAsia="Helvetica Neue" w:hAnsi="Helvetica Neue"/>
                <w:b w:val="1"/>
                <w:bCs w:val="1"/>
                <w:sz w:val="19"/>
                <w:szCs w:val="19"/>
                <w:rtl w:val="0"/>
              </w:rPr>
              <w:t xml:space="preserve"> No — DO NOT PROCEED</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8">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Familiarization (3–4 submaximal reps at 180°/s) completed?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9">
            <w:pPr>
              <w:rPr>
                <w:rFonts w:ascii="Helvetica Neue" w:cs="Helvetica Neue" w:eastAsia="Helvetica Neue" w:hAnsi="Helvetica Neue"/>
              </w:rPr>
            </w:pPr>
            <w:sdt>
              <w:sdtPr>
                <w:id w:val="477596393"/>
                <w:tag w:val="goog_rdk_11"/>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      </w:t>
            </w:r>
            <w:sdt>
              <w:sdtPr>
                <w:id w:val="-1192869475"/>
                <w:tag w:val="goog_rdk_12"/>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5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Leg tested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5B">
            <w:pPr>
              <w:rPr>
                <w:rFonts w:ascii="Helvetica Neue" w:cs="Helvetica Neue" w:eastAsia="Helvetica Neue" w:hAnsi="Helvetica Neue"/>
                <w:sz w:val="19"/>
                <w:szCs w:val="19"/>
              </w:rPr>
            </w:pPr>
            <w:sdt>
              <w:sdtPr>
                <w:id w:val="1801019179"/>
                <w:tag w:val="goog_rdk_13"/>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Right  </w:t>
            </w:r>
            <w:sdt>
              <w:sdtPr>
                <w:id w:val="-378448359"/>
                <w:tag w:val="goog_rdk_14"/>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Left  </w:t>
            </w:r>
          </w:p>
          <w:p w:rsidR="00000000" w:rsidDel="00000000" w:rsidP="00000000" w:rsidRDefault="00000000" w:rsidRPr="00000000" w14:paraId="0000005C">
            <w:pPr>
              <w:rPr>
                <w:rFonts w:ascii="Helvetica Neue" w:cs="Helvetica Neue" w:eastAsia="Helvetica Neue" w:hAnsi="Helvetica Neue"/>
              </w:rPr>
            </w:pPr>
            <w:sdt>
              <w:sdtPr>
                <w:id w:val="260986552"/>
                <w:tag w:val="goog_rdk_15"/>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Dominant  </w:t>
            </w:r>
            <w:sdt>
              <w:sdtPr>
                <w:id w:val="1376495783"/>
                <w:tag w:val="goog_rdk_16"/>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Non-dominant</w:t>
            </w:r>
            <w:r w:rsidDel="00000000" w:rsidR="00000000" w:rsidRPr="00000000">
              <w:rPr>
                <w:rtl w:val="0"/>
              </w:rPr>
            </w:r>
          </w:p>
        </w:tc>
      </w:tr>
    </w:tbl>
    <w:p w:rsidR="00000000" w:rsidDel="00000000" w:rsidP="00000000" w:rsidRDefault="00000000" w:rsidRPr="00000000" w14:paraId="0000005D">
      <w:pPr>
        <w:pStyle w:val="Heading2"/>
        <w:spacing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Minimal inputs required to score the test</w:t>
      </w:r>
      <w:r w:rsidDel="00000000" w:rsidR="00000000" w:rsidRPr="00000000">
        <w:rPr>
          <w:rtl w:val="0"/>
        </w:rPr>
      </w:r>
    </w:p>
    <w:tbl>
      <w:tblPr>
        <w:tblStyle w:val="Table5"/>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530"/>
        <w:gridCol w:w="3910"/>
        <w:tblGridChange w:id="0">
          <w:tblGrid>
            <w:gridCol w:w="6530"/>
            <w:gridCol w:w="3910"/>
          </w:tblGrid>
        </w:tblGridChange>
      </w:tblGrid>
      <w:tr>
        <w:trPr>
          <w:cantSplit w:val="0"/>
          <w:tblHeader w:val="1"/>
        </w:trPr>
        <w:tc>
          <w:tcPr>
            <w:shd w:fill="1f3864" w:val="clear"/>
            <w:tcMar>
              <w:top w:w="60.0" w:type="dxa"/>
              <w:left w:w="100.0" w:type="dxa"/>
              <w:bottom w:w="60.0" w:type="dxa"/>
              <w:right w:w="100.0" w:type="dxa"/>
            </w:tcMar>
            <w:vAlign w:val="center"/>
          </w:tcPr>
          <w:p w:rsidR="00000000" w:rsidDel="00000000" w:rsidP="00000000" w:rsidRDefault="00000000" w:rsidRPr="00000000" w14:paraId="0000005E">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Field</w:t>
            </w:r>
            <w:r w:rsidDel="00000000" w:rsidR="00000000" w:rsidRPr="00000000">
              <w:rPr>
                <w:rtl w:val="0"/>
              </w:rPr>
            </w:r>
          </w:p>
        </w:tc>
        <w:tc>
          <w:tcPr>
            <w:shd w:fill="1f3864" w:val="clear"/>
            <w:tcMar>
              <w:top w:w="60.0" w:type="dxa"/>
              <w:left w:w="100.0" w:type="dxa"/>
              <w:bottom w:w="60.0" w:type="dxa"/>
              <w:right w:w="100.0" w:type="dxa"/>
            </w:tcMar>
            <w:vAlign w:val="center"/>
          </w:tcPr>
          <w:p w:rsidR="00000000" w:rsidDel="00000000" w:rsidP="00000000" w:rsidRDefault="00000000" w:rsidRPr="00000000" w14:paraId="0000005F">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ffffff"/>
                <w:sz w:val="19"/>
                <w:szCs w:val="19"/>
                <w:rtl w:val="0"/>
              </w:rPr>
              <w:t xml:space="preserve">Value</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0">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Height (cm)</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1">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 ___ cm (</w:t>
            </w:r>
            <w:r w:rsidDel="00000000" w:rsidR="00000000" w:rsidRPr="00000000">
              <w:rPr>
                <w:rFonts w:ascii="Helvetica Neue" w:cs="Helvetica Neue" w:eastAsia="Helvetica Neue" w:hAnsi="Helvetica Neue"/>
                <w:i w:val="1"/>
                <w:iCs w:val="1"/>
                <w:color w:val="666666"/>
                <w:sz w:val="16"/>
                <w:szCs w:val="16"/>
                <w:rtl w:val="0"/>
              </w:rPr>
              <w:t xml:space="preserve">measured earlier in visit)</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Body mass (kg)</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 ___ kg (</w:t>
            </w:r>
            <w:r w:rsidDel="00000000" w:rsidR="00000000" w:rsidRPr="00000000">
              <w:rPr>
                <w:rFonts w:ascii="Helvetica Neue" w:cs="Helvetica Neue" w:eastAsia="Helvetica Neue" w:hAnsi="Helvetica Neue"/>
                <w:i w:val="1"/>
                <w:iCs w:val="1"/>
                <w:color w:val="666666"/>
                <w:sz w:val="16"/>
                <w:szCs w:val="16"/>
                <w:rtl w:val="0"/>
              </w:rPr>
              <w:t xml:space="preserve">measured earlier in visit)</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4">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Seat position / dynamometer axis height (site setting)</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_____________________</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6">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Lever-arm length (cm from knee axis)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7">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cm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8">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ROM used (degrees, extension to flexion)</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9">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 to ____°</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Angular velocity used (must be 180°/s)</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B">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°/s</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1 peak torque (Nm) as displayed by device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D">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Nm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6E">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2 peak torque (Nm) as displayed by device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6F">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Nm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0">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3 peak torque (Nm) as displayed by device</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1">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Nm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2">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4 peak torque (Nm), if performed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3">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Nm</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4">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Trial 5 peak torque (Nm), if performed</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Nm</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76">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Highest peak torque recorded (Nm)</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77">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________ Nm</w:t>
            </w:r>
            <w:r w:rsidDel="00000000" w:rsidR="00000000" w:rsidRPr="00000000">
              <w:rPr>
                <w:rtl w:val="0"/>
              </w:rPr>
            </w:r>
          </w:p>
        </w:tc>
      </w:tr>
      <w:tr>
        <w:trPr>
          <w:cantSplit w:val="0"/>
          <w:tblHeader w:val="0"/>
        </w:trPr>
        <w:tc>
          <w:tcPr>
            <w:shd w:fill="f2f2f2" w:val="clear"/>
            <w:tcMar>
              <w:top w:w="60.0" w:type="dxa"/>
              <w:left w:w="100.0" w:type="dxa"/>
              <w:bottom w:w="60.0" w:type="dxa"/>
              <w:right w:w="100.0" w:type="dxa"/>
            </w:tcMar>
            <w:vAlign w:val="center"/>
          </w:tcPr>
          <w:p w:rsidR="00000000" w:rsidDel="00000000" w:rsidP="00000000" w:rsidRDefault="00000000" w:rsidRPr="00000000" w14:paraId="00000078">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Derived Power (W) = Highest Peak Torque × 3.14 — transcribe to REDCap</w:t>
            </w:r>
            <w:r w:rsidDel="00000000" w:rsidR="00000000" w:rsidRPr="00000000">
              <w:rPr>
                <w:rtl w:val="0"/>
              </w:rPr>
            </w:r>
          </w:p>
        </w:tc>
        <w:tc>
          <w:tcPr>
            <w:shd w:fill="f2f2f2" w:val="clear"/>
            <w:tcMar>
              <w:top w:w="60.0" w:type="dxa"/>
              <w:left w:w="100.0" w:type="dxa"/>
              <w:bottom w:w="60.0" w:type="dxa"/>
              <w:right w:w="100.0" w:type="dxa"/>
            </w:tcMar>
            <w:vAlign w:val="center"/>
          </w:tcPr>
          <w:p w:rsidR="00000000" w:rsidDel="00000000" w:rsidP="00000000" w:rsidRDefault="00000000" w:rsidRPr="00000000" w14:paraId="00000079">
            <w:pPr>
              <w:rPr>
                <w:rFonts w:ascii="Helvetica Neue" w:cs="Helvetica Neue" w:eastAsia="Helvetica Neue" w:hAnsi="Helvetica Neue"/>
              </w:rPr>
            </w:pPr>
            <w:r w:rsidDel="00000000" w:rsidR="00000000" w:rsidRPr="00000000">
              <w:rPr>
                <w:rFonts w:ascii="Helvetica Neue" w:cs="Helvetica Neue" w:eastAsia="Helvetica Neue" w:hAnsi="Helvetica Neue"/>
                <w:b w:val="1"/>
                <w:bCs w:val="1"/>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A">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Device “Average Power” (W), if displayed (secondary field only)</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B">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________ W</w:t>
            </w:r>
            <w:r w:rsidDel="00000000" w:rsidR="00000000" w:rsidRPr="00000000">
              <w:rPr>
                <w:rtl w:val="0"/>
              </w:rPr>
            </w:r>
          </w:p>
        </w:tc>
      </w:tr>
      <w:tr>
        <w:trPr>
          <w:cantSplit w:val="0"/>
          <w:tblHeader w:val="0"/>
        </w:trPr>
        <w:tc>
          <w:tcPr>
            <w:tcMar>
              <w:top w:w="60.0" w:type="dxa"/>
              <w:left w:w="100.0" w:type="dxa"/>
              <w:bottom w:w="60.0" w:type="dxa"/>
              <w:right w:w="100.0" w:type="dxa"/>
            </w:tcMar>
            <w:vAlign w:val="center"/>
          </w:tcPr>
          <w:p w:rsidR="00000000" w:rsidDel="00000000" w:rsidP="00000000" w:rsidRDefault="00000000" w:rsidRPr="00000000" w14:paraId="0000007C">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Test stopped early? If yes, note reason below</w:t>
            </w:r>
            <w:r w:rsidDel="00000000" w:rsidR="00000000" w:rsidRPr="00000000">
              <w:rPr>
                <w:rtl w:val="0"/>
              </w:rPr>
            </w:r>
          </w:p>
        </w:tc>
        <w:tc>
          <w:tcPr>
            <w:tcMar>
              <w:top w:w="60.0" w:type="dxa"/>
              <w:left w:w="100.0" w:type="dxa"/>
              <w:bottom w:w="60.0" w:type="dxa"/>
              <w:right w:w="100.0" w:type="dxa"/>
            </w:tcMar>
            <w:vAlign w:val="center"/>
          </w:tcPr>
          <w:p w:rsidR="00000000" w:rsidDel="00000000" w:rsidP="00000000" w:rsidRDefault="00000000" w:rsidRPr="00000000" w14:paraId="0000007D">
            <w:pPr>
              <w:rPr>
                <w:rFonts w:ascii="Helvetica Neue" w:cs="Helvetica Neue" w:eastAsia="Helvetica Neue" w:hAnsi="Helvetica Neue"/>
              </w:rPr>
            </w:pPr>
            <w:sdt>
              <w:sdtPr>
                <w:id w:val="-2047873990"/>
                <w:tag w:val="goog_rdk_17"/>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No      </w:t>
            </w:r>
            <w:sdt>
              <w:sdtPr>
                <w:id w:val="318611251"/>
                <w:tag w:val="goog_rdk_18"/>
              </w:sdtPr>
              <w:sdtContent>
                <w:r w:rsidDel="00000000" w:rsidR="00000000" w:rsidRPr="00000000">
                  <w:rPr>
                    <w:rFonts w:ascii="Arial Unicode MS" w:cs="Arial Unicode MS" w:eastAsia="Arial Unicode MS" w:hAnsi="Arial Unicode MS"/>
                    <w:sz w:val="19"/>
                    <w:szCs w:val="19"/>
                    <w:rtl w:val="0"/>
                  </w:rPr>
                  <w:t xml:space="preserve">☐</w:t>
                </w:r>
              </w:sdtContent>
            </w:sdt>
            <w:r w:rsidDel="00000000" w:rsidR="00000000" w:rsidRPr="00000000">
              <w:rPr>
                <w:rFonts w:ascii="Helvetica Neue" w:cs="Helvetica Neue" w:eastAsia="Helvetica Neue" w:hAnsi="Helvetica Neue"/>
                <w:sz w:val="19"/>
                <w:szCs w:val="19"/>
                <w:rtl w:val="0"/>
              </w:rPr>
              <w:t xml:space="preserve"> Yes</w:t>
            </w:r>
            <w:r w:rsidDel="00000000" w:rsidR="00000000" w:rsidRPr="00000000">
              <w:rPr>
                <w:rtl w:val="0"/>
              </w:rPr>
            </w:r>
          </w:p>
        </w:tc>
      </w:tr>
    </w:tbl>
    <w:p w:rsidR="00000000" w:rsidDel="00000000" w:rsidP="00000000" w:rsidRDefault="00000000" w:rsidRPr="00000000" w14:paraId="0000007E">
      <w:pPr>
        <w:spacing w:after="1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iCs w:val="1"/>
          <w:color w:val="555555"/>
          <w:sz w:val="19"/>
          <w:szCs w:val="19"/>
          <w:rtl w:val="0"/>
        </w:rPr>
        <w:t xml:space="preserve">Do not calculate power by hand beyond the simple × 3.14 step above. Transcribe all raw torque values shown by the device into the REDCap per site SOP.</w:t>
      </w:r>
      <w:r w:rsidDel="00000000" w:rsidR="00000000" w:rsidRPr="00000000">
        <w:rPr>
          <w:rtl w:val="0"/>
        </w:rPr>
      </w:r>
    </w:p>
    <w:p w:rsidR="00000000" w:rsidDel="00000000" w:rsidP="00000000" w:rsidRDefault="00000000" w:rsidRPr="00000000" w14:paraId="0000007F">
      <w:pPr>
        <w:pStyle w:val="Heading2"/>
        <w:spacing w:after="100" w:before="240"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bCs w:val="1"/>
          <w:color w:val="0e7c7b"/>
          <w:sz w:val="24"/>
          <w:szCs w:val="24"/>
          <w:rtl w:val="0"/>
        </w:rPr>
        <w:t xml:space="preserve">Notes / adverse events during test</w:t>
      </w:r>
      <w:r w:rsidDel="00000000" w:rsidR="00000000" w:rsidRPr="00000000">
        <w:rPr>
          <w:rtl w:val="0"/>
        </w:rPr>
      </w:r>
    </w:p>
    <w:tbl>
      <w:tblPr>
        <w:tblStyle w:val="Table6"/>
        <w:tblW w:w="104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40"/>
        <w:tblGridChange w:id="0">
          <w:tblGrid>
            <w:gridCol w:w="10440"/>
          </w:tblGrid>
        </w:tblGridChange>
      </w:tblGrid>
      <w:tr>
        <w:trPr>
          <w:cantSplit w:val="1"/>
          <w:tblHeader w:val="0"/>
        </w:trPr>
        <w:tc>
          <w:tcPr>
            <w:tcMar>
              <w:top w:w="60.0" w:type="dxa"/>
              <w:left w:w="100.0" w:type="dxa"/>
              <w:bottom w:w="60.0" w:type="dxa"/>
              <w:right w:w="100.0" w:type="dxa"/>
            </w:tcMar>
          </w:tcPr>
          <w:p w:rsidR="00000000" w:rsidDel="00000000" w:rsidP="00000000" w:rsidRDefault="00000000" w:rsidRPr="00000000" w14:paraId="00000080">
            <w:pPr>
              <w:rPr>
                <w:rFonts w:ascii="Helvetica Neue" w:cs="Helvetica Neue" w:eastAsia="Helvetica Neue" w:hAnsi="Helvetica Neue"/>
                <w:sz w:val="19"/>
                <w:szCs w:val="19"/>
              </w:rPr>
            </w:pPr>
            <w:r w:rsidDel="00000000" w:rsidR="00000000" w:rsidRPr="00000000">
              <w:rPr>
                <w:rFonts w:ascii="Helvetica Neue" w:cs="Helvetica Neue" w:eastAsia="Helvetica Neue" w:hAnsi="Helvetica Neue"/>
                <w:sz w:val="19"/>
                <w:szCs w:val="19"/>
                <w:rtl w:val="0"/>
              </w:rPr>
              <w:t xml:space="preserve"> </w:t>
            </w:r>
          </w:p>
          <w:p w:rsidR="00000000" w:rsidDel="00000000" w:rsidP="00000000" w:rsidRDefault="00000000" w:rsidRPr="00000000" w14:paraId="00000081">
            <w:pPr>
              <w:rPr>
                <w:rFonts w:ascii="Helvetica Neue" w:cs="Helvetica Neue" w:eastAsia="Helvetica Neue" w:hAnsi="Helvetica Neue"/>
                <w:sz w:val="19"/>
                <w:szCs w:val="19"/>
              </w:rPr>
            </w:pPr>
            <w:r w:rsidDel="00000000" w:rsidR="00000000" w:rsidRPr="00000000">
              <w:rPr>
                <w:rtl w:val="0"/>
              </w:rPr>
            </w:r>
          </w:p>
          <w:p w:rsidR="00000000" w:rsidDel="00000000" w:rsidP="00000000" w:rsidRDefault="00000000" w:rsidRPr="00000000" w14:paraId="00000082">
            <w:pPr>
              <w:rPr>
                <w:rFonts w:ascii="Helvetica Neue" w:cs="Helvetica Neue" w:eastAsia="Helvetica Neue" w:hAnsi="Helvetica Neue"/>
                <w:sz w:val="19"/>
                <w:szCs w:val="19"/>
              </w:rPr>
            </w:pPr>
            <w:r w:rsidDel="00000000" w:rsidR="00000000" w:rsidRPr="00000000">
              <w:rPr>
                <w:rtl w:val="0"/>
              </w:rPr>
            </w:r>
          </w:p>
          <w:p w:rsidR="00000000" w:rsidDel="00000000" w:rsidP="00000000" w:rsidRDefault="00000000" w:rsidRPr="00000000" w14:paraId="00000083">
            <w:pPr>
              <w:rPr>
                <w:rFonts w:ascii="Helvetica Neue" w:cs="Helvetica Neue" w:eastAsia="Helvetica Neue" w:hAnsi="Helvetica Neue"/>
                <w:sz w:val="19"/>
                <w:szCs w:val="19"/>
              </w:rPr>
            </w:pPr>
            <w:r w:rsidDel="00000000" w:rsidR="00000000" w:rsidRPr="00000000">
              <w:rPr>
                <w:rtl w:val="0"/>
              </w:rPr>
            </w:r>
          </w:p>
          <w:p w:rsidR="00000000" w:rsidDel="00000000" w:rsidP="00000000" w:rsidRDefault="00000000" w:rsidRPr="00000000" w14:paraId="00000084">
            <w:pPr>
              <w:rPr>
                <w:rFonts w:ascii="Helvetica Neue" w:cs="Helvetica Neue" w:eastAsia="Helvetica Neue" w:hAnsi="Helvetica Neue"/>
                <w:sz w:val="19"/>
                <w:szCs w:val="19"/>
              </w:rPr>
            </w:pPr>
            <w:r w:rsidDel="00000000" w:rsidR="00000000" w:rsidRPr="00000000">
              <w:rPr>
                <w:rtl w:val="0"/>
              </w:rPr>
            </w:r>
          </w:p>
          <w:p w:rsidR="00000000" w:rsidDel="00000000" w:rsidP="00000000" w:rsidRDefault="00000000" w:rsidRPr="00000000" w14:paraId="00000085">
            <w:pPr>
              <w:rPr>
                <w:rFonts w:ascii="Helvetica Neue" w:cs="Helvetica Neue" w:eastAsia="Helvetica Neue" w:hAnsi="Helvetica Neue"/>
              </w:rPr>
            </w:pPr>
            <w:r w:rsidDel="00000000" w:rsidR="00000000" w:rsidRPr="00000000">
              <w:rPr>
                <w:rFonts w:ascii="Helvetica Neue" w:cs="Helvetica Neue" w:eastAsia="Helvetica Neue" w:hAnsi="Helvetica Neue"/>
                <w:sz w:val="19"/>
                <w:szCs w:val="19"/>
                <w:rtl w:val="0"/>
              </w:rPr>
              <w:t xml:space="preserve"> </w:t>
            </w:r>
            <w:r w:rsidDel="00000000" w:rsidR="00000000" w:rsidRPr="00000000">
              <w:rPr>
                <w:rtl w:val="0"/>
              </w:rPr>
            </w:r>
          </w:p>
        </w:tc>
      </w:tr>
    </w:tbl>
    <w:p w:rsidR="00000000" w:rsidDel="00000000" w:rsidP="00000000" w:rsidRDefault="00000000" w:rsidRPr="00000000" w14:paraId="00000086">
      <w:pPr>
        <w:pStyle w:val="Heading1"/>
        <w:pBdr>
          <w:bottom w:color="1f3864" w:space="4" w:sz="8" w:val="single"/>
        </w:pBdr>
        <w:spacing w:after="160" w:before="320" w:lineRule="auto"/>
        <w:rPr>
          <w:rFonts w:ascii="Helvetica Neue" w:cs="Helvetica Neue" w:eastAsia="Helvetica Neue" w:hAnsi="Helvetica Neue"/>
          <w:b w:val="1"/>
          <w:bCs w:val="1"/>
          <w:color w:val="1f3864"/>
          <w:sz w:val="30"/>
          <w:szCs w:val="3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jc w:val="center"/>
      <w:rPr/>
    </w:pPr>
    <w:r w:rsidDel="00000000" w:rsidR="00000000" w:rsidRPr="00000000">
      <w:rPr>
        <w:color w:val="888888"/>
        <w:sz w:val="16"/>
        <w:szCs w:val="16"/>
        <w:rtl w:val="0"/>
      </w:rPr>
      <w:t xml:space="preserve">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color w:val="888888"/>
        <w:sz w:val="16"/>
        <w:szCs w:val="16"/>
        <w:rtl w:val="0"/>
      </w:rPr>
      <w:t xml:space="preserve"> of </w:t>
    </w:r>
    <w:r w:rsidDel="00000000" w:rsidR="00000000" w:rsidRPr="00000000">
      <w:rPr>
        <w:color w:val="888888"/>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bottom w:color="bfbfbf" w:space="4" w:sz="4" w:val="single"/>
      </w:pBdr>
      <w:tabs>
        <w:tab w:val="right" w:leader="none" w:pos="9026"/>
      </w:tabs>
      <w:rPr/>
    </w:pPr>
    <w:r w:rsidDel="00000000" w:rsidR="00000000" w:rsidRPr="00000000">
      <w:rPr>
        <w:b w:val="1"/>
        <w:bCs w:val="1"/>
        <w:color w:val="1f3864"/>
        <w:sz w:val="18"/>
        <w:szCs w:val="18"/>
        <w:rtl w:val="0"/>
      </w:rPr>
      <w:t xml:space="preserve">XPRIZE Healthspan</w:t>
    </w:r>
    <w:r w:rsidDel="00000000" w:rsidR="00000000" w:rsidRPr="00000000">
      <w:rPr>
        <w:color w:val="555555"/>
        <w:sz w:val="18"/>
        <w:szCs w:val="18"/>
        <w:rtl w:val="0"/>
      </w:rPr>
      <w:tab/>
      <w:t xml:space="preserve">Knee Extensor Isokinetic Power — Clinical Toolkit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style>
  <w:style w:type="character" w:styleId="EndnoteTextChar" w:customStyle="1">
    <w:name w:val="Endnote Text Char"/>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hpR1nA9iTEr7TlsCSN/yXIQbg==">CgMxLjAaLQoBMBIoCiYIB0IiCg5IZWx2ZXRpY2EgTmV1ZR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gAciExRU5SUmZlVWNqNUJ0LU1jbjNfV0RCTVhleV8tdC1sOT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5E7441F56850349892284A6B6655CD6" ma:contentTypeVersion="1" ma:contentTypeDescription="Create a new document." ma:contentTypeScope="" ma:versionID="7088f7f5c1a3c0ab56819bb83f18a8c7">
  <xsd:schema xmlns:xsd="http://www.w3.org/2001/XMLSchema" xmlns:xs="http://www.w3.org/2001/XMLSchema" xmlns:p="http://schemas.microsoft.com/office/2006/metadata/properties" xmlns:ns2="46f113f5-8a02-4de0-b9ff-0b9199f1675b" targetNamespace="http://schemas.microsoft.com/office/2006/metadata/properties" ma:root="true" ma:fieldsID="95e692698e4065db52b27d46c57d82ff" ns2:_="">
    <xsd:import namespace="46f113f5-8a02-4de0-b9ff-0b9199f1675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113f5-8a02-4de0-b9ff-0b9199f167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88225E9-0336-4F0C-9FB8-91529BA019CC}"/>
</file>

<file path=customXML/itemProps3.xml><?xml version="1.0" encoding="utf-8"?>
<ds:datastoreItem xmlns:ds="http://schemas.openxmlformats.org/officeDocument/2006/customXml" ds:itemID="{9EDEB2EA-A5CC-425F-9EB7-E0555A6810FD}"/>
</file>

<file path=customXML/itemProps4.xml><?xml version="1.0" encoding="utf-8"?>
<ds:datastoreItem xmlns:ds="http://schemas.openxmlformats.org/officeDocument/2006/customXml" ds:itemID="{F7884C17-13E7-4F16-8281-405B915081F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2026-08-06T04:44:00Z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0x01010045E7441F56850349892284A6B6655CD6</vt:lpwstr>
  </property>
</Properties>
</file>